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85" w:rsidRPr="00D960A4" w:rsidRDefault="001F1F85" w:rsidP="001F1F85">
      <w:pPr>
        <w:spacing w:after="0"/>
        <w:jc w:val="both"/>
        <w:rPr>
          <w:rFonts w:cstheme="minorHAnsi"/>
          <w:color w:val="auto"/>
          <w:sz w:val="22"/>
          <w:szCs w:val="22"/>
        </w:rPr>
      </w:pPr>
    </w:p>
    <w:p w:rsidR="001F1F85" w:rsidRDefault="001F1F85" w:rsidP="001F1F85">
      <w:pPr>
        <w:spacing w:after="0"/>
        <w:jc w:val="both"/>
        <w:rPr>
          <w:rFonts w:cstheme="minorHAnsi"/>
          <w:b/>
          <w:color w:val="FF0000"/>
          <w:sz w:val="22"/>
          <w:szCs w:val="22"/>
        </w:rPr>
      </w:pPr>
      <w:r>
        <w:rPr>
          <w:rFonts w:cstheme="minorHAnsi"/>
          <w:b/>
          <w:color w:val="FF0000"/>
          <w:sz w:val="22"/>
          <w:szCs w:val="22"/>
        </w:rPr>
        <w:t>DOCUMENTO PARA HA</w:t>
      </w:r>
      <w:r w:rsidR="0066621A">
        <w:rPr>
          <w:rFonts w:cstheme="minorHAnsi"/>
          <w:b/>
          <w:color w:val="FF0000"/>
          <w:sz w:val="22"/>
          <w:szCs w:val="22"/>
        </w:rPr>
        <w:t>B</w:t>
      </w:r>
      <w:r>
        <w:rPr>
          <w:rFonts w:cstheme="minorHAnsi"/>
          <w:b/>
          <w:color w:val="FF0000"/>
          <w:sz w:val="22"/>
          <w:szCs w:val="22"/>
        </w:rPr>
        <w:t>ILITAÇÃO (SE POSSÍVEL JÁ ENVIAR JUNTO A PROPOSTA):</w:t>
      </w:r>
    </w:p>
    <w:p w:rsidR="001F1F85" w:rsidRPr="00ED4B36" w:rsidRDefault="001F1F85" w:rsidP="001F1F85">
      <w:pPr>
        <w:autoSpaceDE w:val="0"/>
        <w:autoSpaceDN w:val="0"/>
        <w:adjustRightInd w:val="0"/>
        <w:spacing w:after="0" w:line="240" w:lineRule="auto"/>
        <w:jc w:val="both"/>
        <w:rPr>
          <w:rFonts w:ascii="Tahoma" w:hAnsi="Tahoma"/>
          <w:color w:val="000000"/>
        </w:rPr>
      </w:pPr>
      <w:r w:rsidRPr="002225DA">
        <w:rPr>
          <w:rFonts w:ascii="Tahoma" w:hAnsi="Tahoma"/>
          <w:b/>
          <w:bCs/>
          <w:color w:val="000000"/>
        </w:rPr>
        <w:t xml:space="preserve">HABILITAÇÃO JURÍDICA: </w:t>
      </w:r>
    </w:p>
    <w:p w:rsidR="001F1F85" w:rsidRPr="00ED4B36" w:rsidRDefault="001F1F85" w:rsidP="001F1F85">
      <w:pPr>
        <w:autoSpaceDE w:val="0"/>
        <w:autoSpaceDN w:val="0"/>
        <w:adjustRightInd w:val="0"/>
        <w:spacing w:after="0" w:line="240" w:lineRule="auto"/>
        <w:jc w:val="both"/>
        <w:rPr>
          <w:rFonts w:ascii="Tahoma" w:hAnsi="Tahoma"/>
          <w:color w:val="000000"/>
        </w:rPr>
      </w:pPr>
      <w:r w:rsidRPr="00ED4B36">
        <w:rPr>
          <w:rFonts w:ascii="Tahoma" w:hAnsi="Tahoma"/>
          <w:color w:val="000000"/>
        </w:rPr>
        <w:t>a) Ato de criação do licitante conforme o caso:</w:t>
      </w:r>
    </w:p>
    <w:p w:rsidR="001F1F85" w:rsidRPr="00ED4B36" w:rsidRDefault="001F1F85" w:rsidP="001F1F85">
      <w:pPr>
        <w:autoSpaceDE w:val="0"/>
        <w:autoSpaceDN w:val="0"/>
        <w:adjustRightInd w:val="0"/>
        <w:spacing w:after="0" w:line="240" w:lineRule="auto"/>
        <w:jc w:val="both"/>
        <w:rPr>
          <w:rFonts w:ascii="Tahoma" w:hAnsi="Tahoma"/>
          <w:color w:val="000000"/>
        </w:rPr>
      </w:pPr>
      <w:r w:rsidRPr="00ED4B36">
        <w:rPr>
          <w:rFonts w:ascii="Tahoma" w:hAnsi="Tahoma"/>
          <w:color w:val="000000"/>
        </w:rPr>
        <w:t>a1) Registro comercial, no caso de empresa individual;</w:t>
      </w:r>
    </w:p>
    <w:p w:rsidR="001F1F85" w:rsidRPr="00ED4B36" w:rsidRDefault="001F1F85" w:rsidP="001F1F85">
      <w:pPr>
        <w:autoSpaceDE w:val="0"/>
        <w:autoSpaceDN w:val="0"/>
        <w:adjustRightInd w:val="0"/>
        <w:spacing w:after="0" w:line="240" w:lineRule="auto"/>
        <w:jc w:val="both"/>
        <w:rPr>
          <w:rFonts w:ascii="Tahoma" w:hAnsi="Tahoma"/>
          <w:color w:val="000000"/>
        </w:rPr>
      </w:pPr>
      <w:r w:rsidRPr="00ED4B36">
        <w:rPr>
          <w:rFonts w:ascii="Tahoma" w:hAnsi="Tahoma"/>
          <w:color w:val="000000"/>
        </w:rPr>
        <w:t>a2) Ato constitutivo, estatuto ou contrato social em vigor, devidamente registrado, em se tratando de sociedade empresária ou simples, e, no caso de sociedade por ações, acompanhado de documentos de eleição de seus administradores; e</w:t>
      </w:r>
    </w:p>
    <w:p w:rsidR="001F1F85" w:rsidRPr="00ED4B36" w:rsidRDefault="001F1F85" w:rsidP="001F1F85">
      <w:pPr>
        <w:autoSpaceDE w:val="0"/>
        <w:autoSpaceDN w:val="0"/>
        <w:adjustRightInd w:val="0"/>
        <w:spacing w:after="0" w:line="240" w:lineRule="auto"/>
        <w:jc w:val="both"/>
        <w:rPr>
          <w:rFonts w:ascii="Tahoma" w:hAnsi="Tahoma"/>
          <w:color w:val="000000"/>
        </w:rPr>
      </w:pPr>
    </w:p>
    <w:p w:rsidR="001F1F85" w:rsidRDefault="001F1F85" w:rsidP="001F1F85">
      <w:pPr>
        <w:autoSpaceDE w:val="0"/>
        <w:autoSpaceDN w:val="0"/>
        <w:adjustRightInd w:val="0"/>
        <w:spacing w:after="0" w:line="240" w:lineRule="auto"/>
        <w:jc w:val="both"/>
        <w:rPr>
          <w:rFonts w:ascii="Tahoma" w:hAnsi="Tahoma"/>
          <w:color w:val="000000"/>
        </w:rPr>
      </w:pPr>
      <w:r w:rsidRPr="00ED4B36">
        <w:rPr>
          <w:rFonts w:ascii="Tahoma" w:hAnsi="Tahoma"/>
          <w:color w:val="000000"/>
        </w:rPr>
        <w:t>b) Decreto de autorização, em se tratando de empresa ou sociedade estrangeira em funcionamento no País, e ato de registro ou autorização para funcionamento expedido pelo órgão competente, quando a atividade assim o exigir.</w:t>
      </w:r>
    </w:p>
    <w:p w:rsidR="001F1F85" w:rsidRDefault="001F1F85" w:rsidP="001F1F85">
      <w:pPr>
        <w:autoSpaceDE w:val="0"/>
        <w:autoSpaceDN w:val="0"/>
        <w:adjustRightInd w:val="0"/>
        <w:spacing w:after="0" w:line="240" w:lineRule="auto"/>
        <w:jc w:val="both"/>
        <w:rPr>
          <w:rFonts w:ascii="Tahoma" w:hAnsi="Tahoma"/>
          <w:color w:val="000000"/>
        </w:rPr>
      </w:pPr>
    </w:p>
    <w:p w:rsidR="001F1F85" w:rsidRPr="00ED4B36" w:rsidRDefault="001F1F85" w:rsidP="001F1F85">
      <w:pPr>
        <w:autoSpaceDE w:val="0"/>
        <w:autoSpaceDN w:val="0"/>
        <w:adjustRightInd w:val="0"/>
        <w:spacing w:after="0" w:line="240" w:lineRule="auto"/>
        <w:jc w:val="both"/>
        <w:rPr>
          <w:rFonts w:ascii="Tahoma" w:hAnsi="Tahoma"/>
          <w:b/>
          <w:color w:val="000000"/>
        </w:rPr>
      </w:pPr>
      <w:r w:rsidRPr="00ED4B36">
        <w:rPr>
          <w:rFonts w:ascii="Tahoma" w:hAnsi="Tahoma"/>
          <w:b/>
          <w:color w:val="000000"/>
        </w:rPr>
        <w:t>Regularidade Fiscal e Trabalhista (art. 29 da Lei Federal 8.666/93):</w:t>
      </w:r>
    </w:p>
    <w:p w:rsidR="001F1F85" w:rsidRDefault="001F1F85" w:rsidP="001F1F85">
      <w:pPr>
        <w:autoSpaceDE w:val="0"/>
        <w:autoSpaceDN w:val="0"/>
        <w:adjustRightInd w:val="0"/>
        <w:spacing w:after="0" w:line="240" w:lineRule="auto"/>
        <w:jc w:val="both"/>
        <w:rPr>
          <w:rFonts w:ascii="Tahoma" w:hAnsi="Tahoma"/>
          <w:color w:val="000000"/>
        </w:rPr>
      </w:pPr>
      <w:r w:rsidRPr="00ED4B36">
        <w:rPr>
          <w:rFonts w:ascii="Tahoma" w:hAnsi="Tahoma"/>
          <w:color w:val="000000"/>
        </w:rPr>
        <w:t>a) Prova de inscrição no Cadastro Nacional de Pessoas Jurídicas (</w:t>
      </w:r>
      <w:r w:rsidRPr="00ED4B36">
        <w:rPr>
          <w:rFonts w:ascii="Tahoma" w:hAnsi="Tahoma"/>
          <w:b/>
          <w:color w:val="000000"/>
        </w:rPr>
        <w:t>CNPJ</w:t>
      </w:r>
      <w:r w:rsidRPr="00ED4B36">
        <w:rPr>
          <w:rFonts w:ascii="Tahoma" w:hAnsi="Tahoma"/>
          <w:color w:val="000000"/>
        </w:rPr>
        <w:t>);</w:t>
      </w:r>
    </w:p>
    <w:p w:rsidR="001F1F85" w:rsidRPr="00ED4B36" w:rsidRDefault="001F1F85" w:rsidP="001F1F85">
      <w:pPr>
        <w:autoSpaceDE w:val="0"/>
        <w:autoSpaceDN w:val="0"/>
        <w:adjustRightInd w:val="0"/>
        <w:spacing w:after="0" w:line="240" w:lineRule="auto"/>
        <w:jc w:val="both"/>
        <w:rPr>
          <w:rFonts w:ascii="Tahoma" w:hAnsi="Tahoma"/>
          <w:color w:val="000000"/>
        </w:rPr>
      </w:pPr>
    </w:p>
    <w:p w:rsidR="001F1F85" w:rsidRDefault="001F1F85" w:rsidP="001F1F85">
      <w:pPr>
        <w:autoSpaceDE w:val="0"/>
        <w:autoSpaceDN w:val="0"/>
        <w:adjustRightInd w:val="0"/>
        <w:spacing w:after="0" w:line="240" w:lineRule="auto"/>
        <w:jc w:val="both"/>
        <w:rPr>
          <w:rFonts w:ascii="Tahoma" w:hAnsi="Tahoma"/>
          <w:bCs/>
        </w:rPr>
      </w:pPr>
      <w:r w:rsidRPr="00ED4B36">
        <w:rPr>
          <w:rFonts w:ascii="Tahoma" w:hAnsi="Tahoma"/>
          <w:color w:val="000000"/>
        </w:rPr>
        <w:t xml:space="preserve">b) </w:t>
      </w:r>
      <w:r w:rsidRPr="00ED4B36">
        <w:rPr>
          <w:rFonts w:ascii="Tahoma" w:hAnsi="Tahoma"/>
          <w:bCs/>
        </w:rPr>
        <w:t xml:space="preserve">Certidão Conjunta Negativa de Débitos ou Positiva com efeito de Negativa, relativa a </w:t>
      </w:r>
      <w:r w:rsidRPr="00B43D9C">
        <w:rPr>
          <w:rFonts w:ascii="Tahoma" w:hAnsi="Tahoma"/>
          <w:b/>
        </w:rPr>
        <w:t>Tributos Federais</w:t>
      </w:r>
      <w:r w:rsidRPr="00ED4B36">
        <w:rPr>
          <w:rFonts w:ascii="Tahoma" w:hAnsi="Tahoma"/>
          <w:bCs/>
        </w:rPr>
        <w:t xml:space="preserve"> (inclusive as contribuições sociais) e à Dívida Ativa da União;</w:t>
      </w:r>
    </w:p>
    <w:p w:rsidR="001F1F85" w:rsidRDefault="001F1F85" w:rsidP="001F1F85">
      <w:pPr>
        <w:autoSpaceDE w:val="0"/>
        <w:autoSpaceDN w:val="0"/>
        <w:adjustRightInd w:val="0"/>
        <w:spacing w:after="0" w:line="240" w:lineRule="auto"/>
        <w:jc w:val="both"/>
        <w:rPr>
          <w:rFonts w:ascii="Tahoma" w:hAnsi="Tahoma"/>
          <w:bCs/>
        </w:rPr>
      </w:pPr>
    </w:p>
    <w:p w:rsidR="001F1F85" w:rsidRPr="00ED4B36" w:rsidRDefault="001F1F85" w:rsidP="001F1F85">
      <w:pPr>
        <w:autoSpaceDE w:val="0"/>
        <w:autoSpaceDN w:val="0"/>
        <w:adjustRightInd w:val="0"/>
        <w:spacing w:after="0" w:line="240" w:lineRule="auto"/>
        <w:jc w:val="both"/>
        <w:rPr>
          <w:rFonts w:ascii="Tahoma" w:hAnsi="Tahoma"/>
        </w:rPr>
      </w:pPr>
      <w:r>
        <w:rPr>
          <w:rFonts w:ascii="Tahoma" w:hAnsi="Tahoma"/>
        </w:rPr>
        <w:t>c</w:t>
      </w:r>
      <w:r w:rsidRPr="00ED4B36">
        <w:rPr>
          <w:rFonts w:ascii="Tahoma" w:hAnsi="Tahoma"/>
        </w:rPr>
        <w:t xml:space="preserve">) Prova de regularidade relativa ao </w:t>
      </w:r>
      <w:r w:rsidRPr="00ED4B36">
        <w:rPr>
          <w:rFonts w:ascii="Tahoma" w:hAnsi="Tahoma"/>
          <w:b/>
        </w:rPr>
        <w:t xml:space="preserve">Fundo de Garantia por Tempo de Serviço - FGTS </w:t>
      </w:r>
      <w:r w:rsidRPr="00ED4B36">
        <w:rPr>
          <w:rFonts w:ascii="Tahoma" w:hAnsi="Tahoma"/>
        </w:rPr>
        <w:t>através do Certificado de Regularidade do FGTS - CRF, emitido pela Caixa Econômica Federal, com prazo de validade em vigor;</w:t>
      </w:r>
    </w:p>
    <w:p w:rsidR="001F1F85" w:rsidRDefault="001F1F85" w:rsidP="001F1F85">
      <w:pPr>
        <w:spacing w:after="0" w:line="240" w:lineRule="auto"/>
        <w:jc w:val="both"/>
        <w:rPr>
          <w:rFonts w:ascii="Tahoma" w:hAnsi="Tahoma"/>
        </w:rPr>
      </w:pPr>
    </w:p>
    <w:p w:rsidR="001F1F85" w:rsidRPr="00ED4B36" w:rsidRDefault="001F1F85" w:rsidP="001F1F85">
      <w:pPr>
        <w:spacing w:after="0" w:line="240" w:lineRule="auto"/>
        <w:jc w:val="both"/>
        <w:rPr>
          <w:rFonts w:ascii="Tahoma" w:hAnsi="Tahoma"/>
        </w:rPr>
      </w:pPr>
      <w:r>
        <w:rPr>
          <w:rFonts w:ascii="Tahoma" w:hAnsi="Tahoma"/>
        </w:rPr>
        <w:t>d</w:t>
      </w:r>
      <w:r w:rsidRPr="00ED4B36">
        <w:rPr>
          <w:rFonts w:ascii="Tahoma" w:hAnsi="Tahoma"/>
        </w:rPr>
        <w:t xml:space="preserve">) </w:t>
      </w:r>
      <w:r w:rsidRPr="00ED4B36">
        <w:rPr>
          <w:rFonts w:ascii="Tahoma" w:hAnsi="Tahoma"/>
          <w:b/>
        </w:rPr>
        <w:t>Prova de regularidade perante a Justiça do Trabalho</w:t>
      </w:r>
      <w:r w:rsidRPr="00ED4B36">
        <w:rPr>
          <w:rFonts w:ascii="Tahoma" w:hAnsi="Tahoma"/>
        </w:rPr>
        <w:t xml:space="preserve">, nos termos do </w:t>
      </w:r>
      <w:proofErr w:type="spellStart"/>
      <w:r w:rsidRPr="00ED4B36">
        <w:rPr>
          <w:rFonts w:ascii="Tahoma" w:hAnsi="Tahoma"/>
        </w:rPr>
        <w:t>Titulo</w:t>
      </w:r>
      <w:proofErr w:type="spellEnd"/>
      <w:r w:rsidRPr="00ED4B36">
        <w:rPr>
          <w:rFonts w:ascii="Tahoma" w:hAnsi="Tahoma"/>
        </w:rPr>
        <w:t xml:space="preserve"> VII-A da Consolidação das Leis do Trabalho, aprovado pelo Decreto-Lei nº. 5452 de 1º de Maio de 1943, que poderá ser obtida no site </w:t>
      </w:r>
      <w:hyperlink r:id="rId6" w:history="1">
        <w:r w:rsidRPr="00ED4B36">
          <w:rPr>
            <w:rStyle w:val="Hyperlink"/>
            <w:rFonts w:ascii="Tahoma" w:hAnsi="Tahoma"/>
          </w:rPr>
          <w:t>www.tst.gov.br</w:t>
        </w:r>
      </w:hyperlink>
      <w:r w:rsidRPr="00ED4B36">
        <w:rPr>
          <w:rFonts w:ascii="Tahoma" w:hAnsi="Tahoma"/>
        </w:rPr>
        <w:t xml:space="preserve"> </w:t>
      </w:r>
    </w:p>
    <w:p w:rsidR="001F1F85" w:rsidRPr="00ED4B36" w:rsidRDefault="001F1F85" w:rsidP="001F1F85">
      <w:pPr>
        <w:spacing w:after="0" w:line="240" w:lineRule="auto"/>
        <w:jc w:val="both"/>
        <w:rPr>
          <w:rFonts w:ascii="Tahoma" w:hAnsi="Tahoma"/>
        </w:rPr>
      </w:pPr>
    </w:p>
    <w:p w:rsidR="001F1F85" w:rsidRPr="00ED4B36" w:rsidRDefault="001F1F85" w:rsidP="001F1F85">
      <w:pPr>
        <w:autoSpaceDE w:val="0"/>
        <w:autoSpaceDN w:val="0"/>
        <w:adjustRightInd w:val="0"/>
        <w:spacing w:after="0" w:line="240" w:lineRule="auto"/>
        <w:jc w:val="both"/>
        <w:rPr>
          <w:rFonts w:ascii="Tahoma" w:hAnsi="Tahoma"/>
          <w:b/>
          <w:color w:val="000000"/>
        </w:rPr>
      </w:pPr>
      <w:r w:rsidRPr="00ED4B36">
        <w:rPr>
          <w:rFonts w:ascii="Tahoma" w:hAnsi="Tahoma"/>
          <w:b/>
          <w:color w:val="000000"/>
        </w:rPr>
        <w:t>1</w:t>
      </w:r>
      <w:r>
        <w:rPr>
          <w:rFonts w:ascii="Tahoma" w:hAnsi="Tahoma"/>
          <w:b/>
          <w:color w:val="000000"/>
        </w:rPr>
        <w:t>5.4</w:t>
      </w:r>
      <w:r w:rsidRPr="00ED4B36">
        <w:rPr>
          <w:rFonts w:ascii="Tahoma" w:hAnsi="Tahoma"/>
          <w:b/>
          <w:color w:val="000000"/>
        </w:rPr>
        <w:t xml:space="preserve"> – Qualificação Econômico-Financeira (art. 31 da Lei 8.666.93):</w:t>
      </w:r>
    </w:p>
    <w:p w:rsidR="001F1F85" w:rsidRPr="00ED4B36" w:rsidRDefault="001F1F85" w:rsidP="001F1F85">
      <w:pPr>
        <w:autoSpaceDE w:val="0"/>
        <w:autoSpaceDN w:val="0"/>
        <w:adjustRightInd w:val="0"/>
        <w:spacing w:after="0" w:line="240" w:lineRule="auto"/>
        <w:jc w:val="both"/>
        <w:rPr>
          <w:rFonts w:ascii="Tahoma" w:hAnsi="Tahoma"/>
          <w:b/>
          <w:bCs/>
          <w:color w:val="000000"/>
        </w:rPr>
      </w:pPr>
      <w:r w:rsidRPr="00ED4B36">
        <w:rPr>
          <w:rFonts w:ascii="Tahoma" w:hAnsi="Tahoma"/>
          <w:b/>
          <w:bCs/>
          <w:color w:val="000000"/>
        </w:rPr>
        <w:t xml:space="preserve">a) </w:t>
      </w:r>
      <w:r w:rsidRPr="00ED4B36">
        <w:rPr>
          <w:rFonts w:ascii="Tahoma" w:hAnsi="Tahoma"/>
          <w:color w:val="000000"/>
        </w:rPr>
        <w:t>Certidão Negativa de Falência expedida pelo Distribuidor da sede do licitante, devidamente válida</w:t>
      </w:r>
      <w:r w:rsidRPr="00ED4B36">
        <w:rPr>
          <w:rFonts w:ascii="Tahoma" w:hAnsi="Tahoma"/>
          <w:b/>
          <w:bCs/>
          <w:color w:val="000000"/>
        </w:rPr>
        <w:t xml:space="preserve"> e/ou com data de emissão anterior à data da entrega das propostas de no máximo até 90 (noventa) dias, no caso daquelas que não possuem data de validade;</w:t>
      </w:r>
    </w:p>
    <w:p w:rsidR="001F1F85" w:rsidRPr="00ED4B36" w:rsidRDefault="001F1F85" w:rsidP="001F1F85">
      <w:pPr>
        <w:autoSpaceDE w:val="0"/>
        <w:autoSpaceDN w:val="0"/>
        <w:adjustRightInd w:val="0"/>
        <w:spacing w:after="0" w:line="240" w:lineRule="auto"/>
        <w:jc w:val="both"/>
        <w:rPr>
          <w:rFonts w:ascii="Tahoma" w:hAnsi="Tahoma"/>
          <w:b/>
          <w:bCs/>
          <w:color w:val="000000"/>
        </w:rPr>
      </w:pPr>
    </w:p>
    <w:p w:rsidR="001F1F85" w:rsidRDefault="001F1F85" w:rsidP="001F1F85">
      <w:pPr>
        <w:autoSpaceDE w:val="0"/>
        <w:autoSpaceDN w:val="0"/>
        <w:adjustRightInd w:val="0"/>
        <w:spacing w:after="0" w:line="240" w:lineRule="auto"/>
        <w:jc w:val="both"/>
        <w:rPr>
          <w:rFonts w:ascii="Tahoma" w:hAnsi="Tahoma"/>
          <w:b/>
          <w:bCs/>
          <w:color w:val="000000"/>
        </w:rPr>
      </w:pPr>
      <w:r w:rsidRPr="003C58C5">
        <w:rPr>
          <w:rFonts w:ascii="Tahoma" w:hAnsi="Tahoma"/>
          <w:b/>
          <w:bCs/>
          <w:color w:val="000000"/>
        </w:rPr>
        <w:t>a.1) Será permitida a participação de empresas em recuperação judicial, nos termos da Súmula 50 do Tribunal de Contas do Estado de São Paulo, mediante apresentação de certidão de concessão de recuperação judicial. Caso a empresa em recuperação judicial apresente certidão positiva, se faz necessário que a interessada demonstre seu Plano de Recuperação, já homologado pelo juízo competente e em pleno vigor, apto a comprovar sua viabilidade econômico-financeira, inclusive, pelo atendimento de todos os requisitos de habilitação econômico-financeiras estabelecidos no edital.</w:t>
      </w:r>
    </w:p>
    <w:p w:rsidR="001F1F85" w:rsidRDefault="001F1F85" w:rsidP="001F1F85">
      <w:pPr>
        <w:autoSpaceDE w:val="0"/>
        <w:autoSpaceDN w:val="0"/>
        <w:adjustRightInd w:val="0"/>
        <w:spacing w:after="0" w:line="240" w:lineRule="auto"/>
        <w:jc w:val="both"/>
        <w:rPr>
          <w:rFonts w:ascii="Tahoma" w:hAnsi="Tahoma"/>
          <w:b/>
          <w:bCs/>
          <w:color w:val="000000"/>
          <w:u w:val="single"/>
        </w:rPr>
      </w:pPr>
    </w:p>
    <w:p w:rsidR="001F1F85" w:rsidRPr="00ED4B36" w:rsidRDefault="001F1F85" w:rsidP="001F1F85">
      <w:pPr>
        <w:autoSpaceDE w:val="0"/>
        <w:autoSpaceDN w:val="0"/>
        <w:adjustRightInd w:val="0"/>
        <w:spacing w:after="0" w:line="240" w:lineRule="auto"/>
        <w:jc w:val="both"/>
        <w:rPr>
          <w:rFonts w:ascii="Tahoma" w:hAnsi="Tahoma"/>
          <w:b/>
          <w:color w:val="000000"/>
        </w:rPr>
      </w:pPr>
      <w:r w:rsidRPr="00ED4B36">
        <w:rPr>
          <w:rFonts w:ascii="Tahoma" w:hAnsi="Tahoma"/>
          <w:b/>
          <w:color w:val="000000"/>
        </w:rPr>
        <w:t>1</w:t>
      </w:r>
      <w:r>
        <w:rPr>
          <w:rFonts w:ascii="Tahoma" w:hAnsi="Tahoma"/>
          <w:b/>
          <w:color w:val="000000"/>
        </w:rPr>
        <w:t>5.5</w:t>
      </w:r>
      <w:r w:rsidRPr="00ED4B36">
        <w:rPr>
          <w:rFonts w:ascii="Tahoma" w:hAnsi="Tahoma"/>
          <w:b/>
          <w:color w:val="000000"/>
        </w:rPr>
        <w:t xml:space="preserve"> – Qualificação Técnica (art. 30 da Lei 8.666/93)</w:t>
      </w:r>
    </w:p>
    <w:p w:rsidR="001F1F85" w:rsidRPr="00E50800" w:rsidRDefault="001F1F85" w:rsidP="001F1F85">
      <w:pPr>
        <w:widowControl w:val="0"/>
        <w:autoSpaceDE w:val="0"/>
        <w:autoSpaceDN w:val="0"/>
        <w:adjustRightInd w:val="0"/>
        <w:spacing w:after="0" w:line="240" w:lineRule="auto"/>
        <w:ind w:right="-29"/>
        <w:jc w:val="both"/>
        <w:rPr>
          <w:rFonts w:ascii="Tahoma" w:hAnsi="Tahoma"/>
        </w:rPr>
      </w:pPr>
      <w:r w:rsidRPr="00E50800">
        <w:rPr>
          <w:rFonts w:ascii="Tahoma" w:hAnsi="Tahoma"/>
          <w:b/>
          <w:bCs/>
        </w:rPr>
        <w:t>a)</w:t>
      </w:r>
      <w:r w:rsidRPr="00E50800">
        <w:rPr>
          <w:rFonts w:ascii="Tahoma" w:hAnsi="Tahoma"/>
        </w:rPr>
        <w:t xml:space="preserve"> Comprovação de aptidão para desempenho de atividade pertinente e compatível em características e quantidades com o objeto da licitação. A comprovação se dará mediante a apresentação de atestado (s) fornecido (s) por pessoas jurídicas de direito público ou privado, que comprove aptidão da proponente para desempenho em atividades compatíveis em características, quantidades com o objeto deste edital, comprovando a execução de no mínimo, </w:t>
      </w:r>
      <w:r>
        <w:rPr>
          <w:rFonts w:ascii="Tahoma" w:hAnsi="Tahoma"/>
          <w:b/>
          <w:bCs/>
          <w:u w:val="single"/>
        </w:rPr>
        <w:t>5</w:t>
      </w:r>
      <w:r w:rsidRPr="00E50800">
        <w:rPr>
          <w:rFonts w:ascii="Tahoma" w:hAnsi="Tahoma"/>
          <w:b/>
          <w:bCs/>
          <w:u w:val="single"/>
        </w:rPr>
        <w:t>0% (</w:t>
      </w:r>
      <w:r>
        <w:rPr>
          <w:rFonts w:ascii="Tahoma" w:hAnsi="Tahoma"/>
          <w:b/>
          <w:bCs/>
          <w:u w:val="single"/>
        </w:rPr>
        <w:t>cinquenta</w:t>
      </w:r>
      <w:r w:rsidRPr="00E50800">
        <w:rPr>
          <w:rFonts w:ascii="Tahoma" w:hAnsi="Tahoma"/>
          <w:b/>
          <w:bCs/>
          <w:u w:val="single"/>
        </w:rPr>
        <w:t xml:space="preserve"> </w:t>
      </w:r>
      <w:r w:rsidRPr="00E50800">
        <w:rPr>
          <w:rFonts w:ascii="Tahoma" w:hAnsi="Tahoma"/>
          <w:b/>
          <w:bCs/>
          <w:u w:val="single"/>
        </w:rPr>
        <w:t>por cento)</w:t>
      </w:r>
      <w:r w:rsidRPr="00E50800">
        <w:rPr>
          <w:rFonts w:ascii="Tahoma" w:hAnsi="Tahoma"/>
        </w:rPr>
        <w:t xml:space="preserve"> da quantidade prevista neste Edital. (Sumula nº. 24 TCESP), admitido o somatório de atestados de capacidade técnica, de forma a ampliar a competição do certame.</w:t>
      </w:r>
    </w:p>
    <w:p w:rsidR="001F1F85" w:rsidRDefault="001F1F85" w:rsidP="001F1F85">
      <w:pPr>
        <w:widowControl w:val="0"/>
        <w:autoSpaceDE w:val="0"/>
        <w:autoSpaceDN w:val="0"/>
        <w:adjustRightInd w:val="0"/>
        <w:spacing w:after="0" w:line="240" w:lineRule="auto"/>
        <w:ind w:right="-29"/>
        <w:jc w:val="both"/>
        <w:rPr>
          <w:rFonts w:ascii="Tahoma" w:hAnsi="Tahoma"/>
        </w:rPr>
      </w:pPr>
    </w:p>
    <w:p w:rsidR="001F1F85" w:rsidRPr="00E50800" w:rsidRDefault="001F1F85" w:rsidP="001F1F85">
      <w:pPr>
        <w:widowControl w:val="0"/>
        <w:autoSpaceDE w:val="0"/>
        <w:autoSpaceDN w:val="0"/>
        <w:adjustRightInd w:val="0"/>
        <w:spacing w:after="0" w:line="240" w:lineRule="auto"/>
        <w:ind w:right="-29"/>
        <w:jc w:val="both"/>
        <w:rPr>
          <w:rFonts w:ascii="Tahoma" w:hAnsi="Tahoma"/>
        </w:rPr>
      </w:pPr>
    </w:p>
    <w:p w:rsidR="001F1F85" w:rsidRPr="00E50800" w:rsidRDefault="001F1F85" w:rsidP="001F1F85">
      <w:pPr>
        <w:tabs>
          <w:tab w:val="left" w:pos="284"/>
        </w:tabs>
        <w:spacing w:after="0" w:line="240" w:lineRule="auto"/>
        <w:jc w:val="both"/>
        <w:rPr>
          <w:rFonts w:ascii="Tahoma" w:hAnsi="Tahoma"/>
        </w:rPr>
      </w:pPr>
      <w:r w:rsidRPr="00E50800">
        <w:rPr>
          <w:rFonts w:ascii="Tahoma" w:hAnsi="Tahoma"/>
        </w:rPr>
        <w:lastRenderedPageBreak/>
        <w:t xml:space="preserve">Observação: Para avaliação e validação dos atestados de capacidade apresentados, a municipalidade levará em conta o percentual de </w:t>
      </w:r>
      <w:r>
        <w:rPr>
          <w:rFonts w:ascii="Tahoma" w:hAnsi="Tahoma"/>
          <w:b/>
          <w:bCs/>
          <w:u w:val="single"/>
        </w:rPr>
        <w:t>5</w:t>
      </w:r>
      <w:r w:rsidRPr="00E50800">
        <w:rPr>
          <w:rFonts w:ascii="Tahoma" w:hAnsi="Tahoma"/>
          <w:b/>
          <w:bCs/>
          <w:u w:val="single"/>
        </w:rPr>
        <w:t>0% (</w:t>
      </w:r>
      <w:r>
        <w:rPr>
          <w:rFonts w:ascii="Tahoma" w:hAnsi="Tahoma"/>
          <w:b/>
          <w:bCs/>
          <w:u w:val="single"/>
        </w:rPr>
        <w:t>cinquenta</w:t>
      </w:r>
      <w:r w:rsidRPr="00E50800">
        <w:rPr>
          <w:rFonts w:ascii="Tahoma" w:hAnsi="Tahoma"/>
          <w:b/>
          <w:bCs/>
          <w:u w:val="single"/>
        </w:rPr>
        <w:t xml:space="preserve"> </w:t>
      </w:r>
      <w:r w:rsidRPr="00E50800">
        <w:rPr>
          <w:rFonts w:ascii="Tahoma" w:hAnsi="Tahoma"/>
          <w:b/>
          <w:bCs/>
          <w:u w:val="single"/>
        </w:rPr>
        <w:t>por cento)</w:t>
      </w:r>
      <w:r w:rsidRPr="00E50800">
        <w:rPr>
          <w:rFonts w:ascii="Tahoma" w:hAnsi="Tahoma"/>
        </w:rPr>
        <w:t>, conforme deliberação do Tribunal de Contas do Estado de São Paulo através da Súmula nº 24, dos serviços relacionados abaixo:</w:t>
      </w:r>
    </w:p>
    <w:p w:rsidR="001F1F85" w:rsidRPr="00E50800" w:rsidRDefault="001F1F85" w:rsidP="001F1F85">
      <w:pPr>
        <w:autoSpaceDE w:val="0"/>
        <w:autoSpaceDN w:val="0"/>
        <w:adjustRightInd w:val="0"/>
        <w:spacing w:after="0" w:line="240" w:lineRule="auto"/>
        <w:ind w:left="284"/>
        <w:jc w:val="both"/>
        <w:rPr>
          <w:rFonts w:ascii="Tahoma" w:hAnsi="Tahoma"/>
          <w:color w:val="000000"/>
        </w:rPr>
      </w:pPr>
    </w:p>
    <w:p w:rsidR="001F1F85" w:rsidRPr="00E50800" w:rsidRDefault="001F1F85" w:rsidP="001F1F85">
      <w:pPr>
        <w:autoSpaceDE w:val="0"/>
        <w:autoSpaceDN w:val="0"/>
        <w:adjustRightInd w:val="0"/>
        <w:spacing w:after="0" w:line="240" w:lineRule="auto"/>
        <w:jc w:val="both"/>
        <w:rPr>
          <w:rFonts w:ascii="Tahoma" w:hAnsi="Tahoma"/>
          <w:color w:val="000000"/>
        </w:rPr>
      </w:pPr>
      <w:r w:rsidRPr="00E50800">
        <w:rPr>
          <w:rFonts w:ascii="Tahoma" w:eastAsia="Calibri" w:hAnsi="Tahoma"/>
          <w:b/>
          <w:bCs/>
          <w:color w:val="000000"/>
          <w:lang w:eastAsia="en-US"/>
        </w:rPr>
        <w:t>Serão aceitos atestados de capacidade técnica que demonstrem experiência na execução de serviços compatíveis em características ao objeto do presente certame, conforme disposto no inc. II do art. 30 da Lei Federal de Licitações nº 8.666/93 e demais alterações posteriores.</w:t>
      </w:r>
    </w:p>
    <w:p w:rsidR="001F1F85" w:rsidRPr="00E50800" w:rsidRDefault="001F1F85" w:rsidP="001F1F85">
      <w:pPr>
        <w:spacing w:after="0" w:line="240" w:lineRule="auto"/>
        <w:rPr>
          <w:rFonts w:ascii="Tahoma" w:hAnsi="Tahoma"/>
        </w:rPr>
      </w:pPr>
    </w:p>
    <w:p w:rsidR="001F1F85" w:rsidRPr="00BF5A60" w:rsidRDefault="001F1F85" w:rsidP="001F1F85">
      <w:pPr>
        <w:autoSpaceDE w:val="0"/>
        <w:autoSpaceDN w:val="0"/>
        <w:adjustRightInd w:val="0"/>
        <w:spacing w:after="0" w:line="240" w:lineRule="auto"/>
        <w:jc w:val="both"/>
        <w:rPr>
          <w:rFonts w:ascii="Tahoma" w:hAnsi="Tahoma"/>
          <w:b/>
          <w:color w:val="FF0000"/>
        </w:rPr>
      </w:pPr>
      <w:r w:rsidRPr="00BF5A60">
        <w:rPr>
          <w:rFonts w:ascii="Tahoma" w:hAnsi="Tahoma"/>
          <w:b/>
          <w:color w:val="FF0000"/>
          <w:highlight w:val="yellow"/>
        </w:rPr>
        <w:t xml:space="preserve">COLETA MANUAL E/OU MECÂNICA, TRANSPORTE E DESTINAÇÃO DE RESÍDUOS SÓLIDOS DOMICILIARES: contendo no mínimo </w:t>
      </w:r>
      <w:r w:rsidR="003054A5">
        <w:rPr>
          <w:rFonts w:ascii="Tahoma" w:hAnsi="Tahoma"/>
          <w:b/>
          <w:color w:val="FF0000"/>
          <w:highlight w:val="yellow"/>
        </w:rPr>
        <w:t>1.215</w:t>
      </w:r>
      <w:r w:rsidRPr="00BF5A60">
        <w:rPr>
          <w:rFonts w:ascii="Tahoma" w:hAnsi="Tahoma"/>
          <w:b/>
          <w:color w:val="FF0000"/>
          <w:highlight w:val="yellow"/>
        </w:rPr>
        <w:t xml:space="preserve"> (</w:t>
      </w:r>
      <w:r w:rsidR="003054A5">
        <w:rPr>
          <w:rFonts w:ascii="Tahoma" w:hAnsi="Tahoma"/>
          <w:b/>
          <w:color w:val="FF0000"/>
          <w:highlight w:val="yellow"/>
        </w:rPr>
        <w:t>Um mil quinhentos e quinze</w:t>
      </w:r>
      <w:r w:rsidRPr="00BF5A60">
        <w:rPr>
          <w:rFonts w:ascii="Tahoma" w:hAnsi="Tahoma"/>
          <w:b/>
          <w:color w:val="FF0000"/>
          <w:highlight w:val="yellow"/>
        </w:rPr>
        <w:t>) toneladas.</w:t>
      </w:r>
    </w:p>
    <w:p w:rsidR="001F1F85" w:rsidRPr="00E50800" w:rsidRDefault="001F1F85" w:rsidP="001F1F85">
      <w:pPr>
        <w:autoSpaceDE w:val="0"/>
        <w:autoSpaceDN w:val="0"/>
        <w:adjustRightInd w:val="0"/>
        <w:spacing w:after="0" w:line="240" w:lineRule="auto"/>
        <w:jc w:val="both"/>
        <w:rPr>
          <w:rFonts w:ascii="Tahoma" w:hAnsi="Tahoma"/>
          <w:b/>
          <w:color w:val="000000"/>
          <w:highlight w:val="yellow"/>
        </w:rPr>
      </w:pPr>
    </w:p>
    <w:p w:rsidR="001F1F85" w:rsidRPr="00E50800" w:rsidRDefault="001F1F85" w:rsidP="001F1F85">
      <w:pPr>
        <w:autoSpaceDE w:val="0"/>
        <w:autoSpaceDN w:val="0"/>
        <w:adjustRightInd w:val="0"/>
        <w:spacing w:after="0" w:line="240" w:lineRule="auto"/>
        <w:jc w:val="both"/>
        <w:rPr>
          <w:rFonts w:ascii="Tahoma" w:eastAsia="Calibri" w:hAnsi="Tahoma"/>
          <w:b/>
          <w:bCs/>
          <w:color w:val="000000"/>
          <w:lang w:eastAsia="en-US"/>
        </w:rPr>
      </w:pPr>
      <w:r w:rsidRPr="00E50800">
        <w:rPr>
          <w:rFonts w:ascii="Tahoma" w:eastAsia="Calibri" w:hAnsi="Tahoma"/>
          <w:b/>
          <w:bCs/>
          <w:color w:val="000000"/>
          <w:lang w:eastAsia="en-US"/>
        </w:rPr>
        <w:t>b) Declaração de disponibilidade de profissionais devidamente habilitados para operação dos equipamentos, na forma do art. 30, § 6º da Lei 8.666/93.</w:t>
      </w:r>
    </w:p>
    <w:p w:rsidR="001F1F85" w:rsidRPr="00E50800" w:rsidRDefault="001F1F85" w:rsidP="001F1F85">
      <w:pPr>
        <w:autoSpaceDE w:val="0"/>
        <w:autoSpaceDN w:val="0"/>
        <w:adjustRightInd w:val="0"/>
        <w:spacing w:after="0" w:line="240" w:lineRule="auto"/>
        <w:jc w:val="both"/>
        <w:rPr>
          <w:rFonts w:ascii="Tahoma" w:eastAsia="Calibri" w:hAnsi="Tahoma"/>
          <w:b/>
          <w:bCs/>
          <w:color w:val="000000"/>
          <w:lang w:eastAsia="en-US"/>
        </w:rPr>
      </w:pPr>
    </w:p>
    <w:p w:rsidR="001F1F85" w:rsidRPr="00E50800" w:rsidRDefault="001F1F85" w:rsidP="001F1F85">
      <w:pPr>
        <w:autoSpaceDE w:val="0"/>
        <w:autoSpaceDN w:val="0"/>
        <w:adjustRightInd w:val="0"/>
        <w:spacing w:after="0" w:line="240" w:lineRule="auto"/>
        <w:jc w:val="both"/>
        <w:rPr>
          <w:rFonts w:ascii="Tahoma" w:eastAsia="Calibri" w:hAnsi="Tahoma"/>
          <w:b/>
          <w:bCs/>
          <w:color w:val="000000"/>
          <w:lang w:eastAsia="en-US"/>
        </w:rPr>
      </w:pPr>
      <w:r w:rsidRPr="00E50800">
        <w:rPr>
          <w:rFonts w:ascii="Tahoma" w:eastAsia="Calibri" w:hAnsi="Tahoma"/>
          <w:b/>
          <w:bCs/>
          <w:color w:val="000000"/>
          <w:lang w:eastAsia="en-US"/>
        </w:rPr>
        <w:t>c) Declaração de Disponibilidade dos equipamentos ofertados em cumprimento do objeto, na forma do art. 30, § 6º da Lei 8.666/93.</w:t>
      </w:r>
    </w:p>
    <w:p w:rsidR="001F1F85" w:rsidRPr="00E50800" w:rsidRDefault="001F1F85" w:rsidP="001F1F85">
      <w:pPr>
        <w:autoSpaceDE w:val="0"/>
        <w:autoSpaceDN w:val="0"/>
        <w:adjustRightInd w:val="0"/>
        <w:spacing w:after="0" w:line="240" w:lineRule="auto"/>
        <w:jc w:val="both"/>
        <w:rPr>
          <w:rFonts w:ascii="Tahoma" w:eastAsia="Calibri" w:hAnsi="Tahoma"/>
          <w:b/>
          <w:bCs/>
          <w:color w:val="000000"/>
          <w:lang w:eastAsia="en-US"/>
        </w:rPr>
      </w:pPr>
    </w:p>
    <w:p w:rsidR="001F1F85" w:rsidRDefault="001F1F85" w:rsidP="001F1F85">
      <w:pPr>
        <w:spacing w:after="0" w:line="240" w:lineRule="auto"/>
        <w:jc w:val="both"/>
        <w:rPr>
          <w:rFonts w:ascii="Tahoma" w:hAnsi="Tahoma"/>
        </w:rPr>
      </w:pPr>
      <w:r>
        <w:rPr>
          <w:rFonts w:ascii="Tahoma" w:hAnsi="Tahoma"/>
          <w:b/>
          <w:bCs/>
        </w:rPr>
        <w:t>d</w:t>
      </w:r>
      <w:r w:rsidRPr="00AB5470">
        <w:rPr>
          <w:rFonts w:ascii="Tahoma" w:hAnsi="Tahoma"/>
          <w:b/>
          <w:bCs/>
        </w:rPr>
        <w:t xml:space="preserve">) </w:t>
      </w:r>
      <w:r w:rsidRPr="00AB5470">
        <w:rPr>
          <w:rFonts w:ascii="Tahoma" w:hAnsi="Tahoma"/>
        </w:rPr>
        <w:t>Comprovante de</w:t>
      </w:r>
      <w:r w:rsidRPr="00AB5470">
        <w:rPr>
          <w:rFonts w:ascii="Tahoma" w:hAnsi="Tahoma"/>
          <w:b/>
          <w:bCs/>
        </w:rPr>
        <w:t xml:space="preserve"> </w:t>
      </w:r>
      <w:r w:rsidRPr="00AB5470">
        <w:rPr>
          <w:rFonts w:ascii="Tahoma" w:hAnsi="Tahoma"/>
        </w:rPr>
        <w:t xml:space="preserve">Registro ou inscrição da licitante no </w:t>
      </w:r>
      <w:r w:rsidRPr="00AB5470">
        <w:rPr>
          <w:rFonts w:ascii="Tahoma" w:hAnsi="Tahoma"/>
          <w:b/>
          <w:bCs/>
        </w:rPr>
        <w:t>CREA</w:t>
      </w:r>
      <w:r w:rsidRPr="00AB5470">
        <w:rPr>
          <w:rFonts w:ascii="Tahoma" w:hAnsi="Tahoma"/>
        </w:rPr>
        <w:t xml:space="preserve"> ou em outra entidade profissional competente, compatível com o objeto da licitação.</w:t>
      </w:r>
    </w:p>
    <w:p w:rsidR="001F1F85" w:rsidRDefault="001F1F85" w:rsidP="001F1F85">
      <w:pPr>
        <w:spacing w:after="0" w:line="240" w:lineRule="auto"/>
        <w:jc w:val="both"/>
        <w:rPr>
          <w:rFonts w:ascii="Tahoma" w:hAnsi="Tahoma"/>
        </w:rPr>
      </w:pPr>
      <w:r>
        <w:rPr>
          <w:rFonts w:ascii="Tahoma" w:hAnsi="Tahoma"/>
          <w:b/>
          <w:bCs/>
        </w:rPr>
        <w:t>d</w:t>
      </w:r>
      <w:r w:rsidRPr="00E30C58">
        <w:rPr>
          <w:rFonts w:ascii="Tahoma" w:hAnsi="Tahoma"/>
          <w:b/>
          <w:bCs/>
        </w:rPr>
        <w:t xml:space="preserve">.1) </w:t>
      </w:r>
      <w:r w:rsidRPr="00E30C58">
        <w:rPr>
          <w:rFonts w:ascii="Tahoma" w:hAnsi="Tahoma"/>
        </w:rPr>
        <w:t xml:space="preserve">No caso de a empresa licitante não ser registrada ou inscrita no </w:t>
      </w:r>
      <w:r w:rsidRPr="00E30C58">
        <w:rPr>
          <w:rFonts w:ascii="Tahoma" w:hAnsi="Tahoma"/>
          <w:b/>
          <w:bCs/>
        </w:rPr>
        <w:t>CREA</w:t>
      </w:r>
      <w:r w:rsidRPr="00E30C58">
        <w:rPr>
          <w:rFonts w:ascii="Tahoma" w:hAnsi="Tahoma"/>
        </w:rPr>
        <w:t xml:space="preserve"> </w:t>
      </w:r>
      <w:r w:rsidRPr="00AB5470">
        <w:rPr>
          <w:rFonts w:ascii="Tahoma" w:hAnsi="Tahoma"/>
        </w:rPr>
        <w:t>ou em outra entidade profissional competente</w:t>
      </w:r>
      <w:r w:rsidRPr="00E30C58">
        <w:rPr>
          <w:rFonts w:ascii="Tahoma" w:hAnsi="Tahoma"/>
        </w:rPr>
        <w:t xml:space="preserve"> do Estado de São Paulo, deverão ser providenciados os respectivos vistos deste órgão regional por ocasião da assinatura do contrato.</w:t>
      </w:r>
    </w:p>
    <w:p w:rsidR="001F1F85" w:rsidRDefault="001F1F85" w:rsidP="001F1F85">
      <w:pPr>
        <w:spacing w:after="0" w:line="240" w:lineRule="auto"/>
        <w:jc w:val="both"/>
        <w:rPr>
          <w:rFonts w:ascii="Tahoma" w:hAnsi="Tahoma"/>
        </w:rPr>
      </w:pPr>
    </w:p>
    <w:p w:rsidR="001F1F85" w:rsidRPr="00E50800" w:rsidRDefault="001F1F85" w:rsidP="001F1F85">
      <w:pPr>
        <w:spacing w:after="0" w:line="240" w:lineRule="auto"/>
        <w:jc w:val="both"/>
      </w:pPr>
      <w:r>
        <w:rPr>
          <w:rFonts w:ascii="Tahoma" w:hAnsi="Tahoma"/>
          <w:b/>
          <w:bCs/>
        </w:rPr>
        <w:t>e</w:t>
      </w:r>
      <w:r w:rsidRPr="00E50800">
        <w:rPr>
          <w:rFonts w:ascii="Tahoma" w:hAnsi="Tahoma"/>
          <w:b/>
          <w:bCs/>
        </w:rPr>
        <w:t>)</w:t>
      </w:r>
      <w:r w:rsidRPr="00E50800">
        <w:rPr>
          <w:rFonts w:ascii="Tahoma" w:hAnsi="Tahoma"/>
        </w:rPr>
        <w:t xml:space="preserve"> O</w:t>
      </w:r>
      <w:r w:rsidRPr="00E50800">
        <w:rPr>
          <w:rFonts w:ascii="Tahoma" w:hAnsi="Tahoma"/>
          <w:iCs/>
        </w:rPr>
        <w:t xml:space="preserve"> licitante deverá comprovar que possui em seu quadro de pessoal, profissional de nível superior, devidamente registrado no </w:t>
      </w:r>
      <w:r w:rsidRPr="00E50800">
        <w:rPr>
          <w:rFonts w:ascii="Tahoma" w:hAnsi="Tahoma"/>
          <w:b/>
          <w:bCs/>
          <w:iCs/>
        </w:rPr>
        <w:t>CREA</w:t>
      </w:r>
      <w:r w:rsidRPr="00E50800">
        <w:rPr>
          <w:rFonts w:ascii="Tahoma" w:hAnsi="Tahoma"/>
          <w:iCs/>
        </w:rPr>
        <w:t xml:space="preserve"> </w:t>
      </w:r>
      <w:r w:rsidRPr="00E50800">
        <w:rPr>
          <w:rFonts w:ascii="Tahoma" w:hAnsi="Tahoma"/>
          <w:iCs/>
          <w:u w:val="single"/>
        </w:rPr>
        <w:t>ou</w:t>
      </w:r>
      <w:r w:rsidRPr="00E50800">
        <w:rPr>
          <w:rFonts w:ascii="Tahoma" w:hAnsi="Tahoma"/>
          <w:iCs/>
        </w:rPr>
        <w:t xml:space="preserve"> em outra entidade profissional competente, compatível com o objeto da licitação.</w:t>
      </w:r>
    </w:p>
    <w:p w:rsidR="001F1F85" w:rsidRDefault="001F1F85" w:rsidP="001F1F85">
      <w:pPr>
        <w:spacing w:after="0" w:line="240" w:lineRule="auto"/>
        <w:jc w:val="both"/>
        <w:rPr>
          <w:rFonts w:ascii="Tahoma" w:hAnsi="Tahoma"/>
        </w:rPr>
      </w:pPr>
      <w:r>
        <w:rPr>
          <w:rFonts w:ascii="Tahoma" w:hAnsi="Tahoma"/>
          <w:b/>
        </w:rPr>
        <w:t>e.</w:t>
      </w:r>
      <w:r w:rsidRPr="00AB5470">
        <w:rPr>
          <w:rFonts w:ascii="Tahoma" w:hAnsi="Tahoma"/>
          <w:b/>
        </w:rPr>
        <w:t xml:space="preserve">1) </w:t>
      </w:r>
      <w:r w:rsidRPr="00AB5470">
        <w:rPr>
          <w:rFonts w:ascii="Tahoma" w:hAnsi="Tahoma"/>
        </w:rPr>
        <w:t xml:space="preserve">A comprovação do vínculo profissional será exigida </w:t>
      </w:r>
      <w:r w:rsidRPr="00AB5470">
        <w:rPr>
          <w:rFonts w:ascii="Tahoma" w:hAnsi="Tahoma"/>
          <w:b/>
          <w:bCs/>
        </w:rPr>
        <w:t>no momento da assinatura do contrato</w:t>
      </w:r>
      <w:r w:rsidRPr="00AB5470">
        <w:rPr>
          <w:rFonts w:ascii="Tahoma" w:hAnsi="Tahoma"/>
        </w:rPr>
        <w:t>, e far-se-á através da apresentação do contrato social, quando sócios, registro na carteira profissional, ficha de empregado ou contrato de trabalho, sendo possível a contratação de profissional autônomo que preencha os requisitos, desde que vinculado, o profissional acima indicado, com a empresa licitante na data prevista para entrega da proposta;</w:t>
      </w:r>
    </w:p>
    <w:p w:rsidR="0066621A" w:rsidRDefault="0066621A" w:rsidP="001F1F85">
      <w:pPr>
        <w:spacing w:after="0" w:line="240" w:lineRule="auto"/>
        <w:jc w:val="both"/>
        <w:rPr>
          <w:rFonts w:ascii="Tahoma" w:hAnsi="Tahoma"/>
        </w:rPr>
      </w:pPr>
    </w:p>
    <w:p w:rsidR="0066621A" w:rsidRPr="0066621A" w:rsidRDefault="0066621A" w:rsidP="001F1F85">
      <w:pPr>
        <w:spacing w:after="0" w:line="240" w:lineRule="auto"/>
        <w:jc w:val="both"/>
        <w:rPr>
          <w:rFonts w:ascii="Tahoma" w:hAnsi="Tahoma"/>
          <w:b/>
          <w:bCs/>
          <w:color w:val="FF0000"/>
          <w:sz w:val="28"/>
          <w:szCs w:val="28"/>
        </w:rPr>
      </w:pPr>
      <w:r w:rsidRPr="0066621A">
        <w:rPr>
          <w:rFonts w:ascii="Tahoma" w:hAnsi="Tahoma"/>
          <w:b/>
          <w:bCs/>
          <w:color w:val="FF0000"/>
          <w:sz w:val="28"/>
          <w:szCs w:val="28"/>
        </w:rPr>
        <w:t>TODOS DOCUMENTOS QUE TRATAREM-SE DE CÓPIAS SIMPLES DEVERÃO SER APRESENTADOS EM CÓPIAS AUTENTICADAS PARA ASSINATURA DO CONTRATO</w:t>
      </w:r>
    </w:p>
    <w:p w:rsidR="001F1F85" w:rsidRDefault="001F1F85">
      <w:bookmarkStart w:id="0" w:name="_GoBack"/>
      <w:bookmarkEnd w:id="0"/>
    </w:p>
    <w:sectPr w:rsidR="001F1F8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492" w:rsidRDefault="00F42492" w:rsidP="001F1F85">
      <w:pPr>
        <w:spacing w:after="0" w:line="240" w:lineRule="auto"/>
      </w:pPr>
      <w:r>
        <w:separator/>
      </w:r>
    </w:p>
  </w:endnote>
  <w:endnote w:type="continuationSeparator" w:id="0">
    <w:p w:rsidR="00F42492" w:rsidRDefault="00F42492" w:rsidP="001F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492" w:rsidRDefault="00F42492" w:rsidP="001F1F85">
      <w:pPr>
        <w:spacing w:after="0" w:line="240" w:lineRule="auto"/>
      </w:pPr>
      <w:r>
        <w:separator/>
      </w:r>
    </w:p>
  </w:footnote>
  <w:footnote w:type="continuationSeparator" w:id="0">
    <w:p w:rsidR="00F42492" w:rsidRDefault="00F42492" w:rsidP="001F1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88" w:type="pct"/>
      <w:jc w:val="center"/>
      <w:tblLayout w:type="fixed"/>
      <w:tblCellMar>
        <w:left w:w="0" w:type="dxa"/>
        <w:right w:w="0" w:type="dxa"/>
      </w:tblCellMar>
      <w:tblLook w:val="04A0" w:firstRow="1" w:lastRow="0" w:firstColumn="1" w:lastColumn="0" w:noHBand="0" w:noVBand="1"/>
    </w:tblPr>
    <w:tblGrid>
      <w:gridCol w:w="7184"/>
      <w:gridCol w:w="225"/>
      <w:gridCol w:w="1415"/>
    </w:tblGrid>
    <w:tr w:rsidR="001F1F85" w:rsidRPr="0041605E" w:rsidTr="0091724F">
      <w:trPr>
        <w:trHeight w:val="1469"/>
        <w:jc w:val="center"/>
      </w:trPr>
      <w:tc>
        <w:tcPr>
          <w:tcW w:w="8387" w:type="dxa"/>
        </w:tcPr>
        <w:p w:rsidR="001F1F85" w:rsidRPr="00464839" w:rsidRDefault="001F1F85" w:rsidP="001F1F85">
          <w:pPr>
            <w:pStyle w:val="Organizao"/>
            <w:rPr>
              <w:color w:val="5B9BD5" w:themeColor="accent5"/>
            </w:rPr>
          </w:pPr>
          <w:r w:rsidRPr="00464839">
            <w:rPr>
              <w:color w:val="5B9BD5" w:themeColor="accent5"/>
            </w:rPr>
            <w:t>PREFEITURA MUNICIPAL DA ESTÂNCIA DE ÁGUAS DE LINDÓIA</w:t>
          </w:r>
        </w:p>
        <w:tbl>
          <w:tblPr>
            <w:tblW w:w="8319" w:type="dxa"/>
            <w:tblBorders>
              <w:top w:val="single" w:sz="8" w:space="0" w:color="000000" w:themeColor="text1"/>
            </w:tblBorders>
            <w:tblLayout w:type="fixed"/>
            <w:tblCellMar>
              <w:left w:w="0" w:type="dxa"/>
              <w:right w:w="115" w:type="dxa"/>
            </w:tblCellMar>
            <w:tblLook w:val="04A0" w:firstRow="1" w:lastRow="0" w:firstColumn="1" w:lastColumn="0" w:noHBand="0" w:noVBand="1"/>
          </w:tblPr>
          <w:tblGrid>
            <w:gridCol w:w="2791"/>
            <w:gridCol w:w="2744"/>
            <w:gridCol w:w="2754"/>
            <w:gridCol w:w="30"/>
          </w:tblGrid>
          <w:tr w:rsidR="001F1F85" w:rsidRPr="00464839" w:rsidTr="0091724F">
            <w:trPr>
              <w:gridAfter w:val="1"/>
              <w:wAfter w:w="18" w:type="pct"/>
              <w:trHeight w:hRule="exact" w:val="83"/>
            </w:trPr>
            <w:tc>
              <w:tcPr>
                <w:tcW w:w="1678" w:type="pct"/>
              </w:tcPr>
              <w:p w:rsidR="001F1F85" w:rsidRPr="00464839" w:rsidRDefault="001F1F85" w:rsidP="001F1F85">
                <w:pPr>
                  <w:rPr>
                    <w:color w:val="5B9BD5" w:themeColor="accent5"/>
                  </w:rPr>
                </w:pPr>
              </w:p>
            </w:tc>
            <w:tc>
              <w:tcPr>
                <w:tcW w:w="1649" w:type="pct"/>
              </w:tcPr>
              <w:p w:rsidR="001F1F85" w:rsidRPr="00464839" w:rsidRDefault="001F1F85" w:rsidP="001F1F85">
                <w:pPr>
                  <w:rPr>
                    <w:color w:val="5B9BD5" w:themeColor="accent5"/>
                  </w:rPr>
                </w:pPr>
              </w:p>
            </w:tc>
            <w:tc>
              <w:tcPr>
                <w:tcW w:w="1655" w:type="pct"/>
              </w:tcPr>
              <w:p w:rsidR="001F1F85" w:rsidRPr="00464839" w:rsidRDefault="001F1F85" w:rsidP="001F1F85">
                <w:pPr>
                  <w:rPr>
                    <w:color w:val="5B9BD5" w:themeColor="accent5"/>
                  </w:rPr>
                </w:pPr>
              </w:p>
            </w:tc>
          </w:tr>
          <w:tr w:rsidR="001F1F85" w:rsidRPr="00464839" w:rsidTr="0091724F">
            <w:trPr>
              <w:trHeight w:val="402"/>
            </w:trPr>
            <w:tc>
              <w:tcPr>
                <w:tcW w:w="5000" w:type="pct"/>
                <w:gridSpan w:val="4"/>
                <w:tcMar>
                  <w:bottom w:w="144" w:type="dxa"/>
                </w:tcMar>
              </w:tcPr>
              <w:p w:rsidR="001F1F85" w:rsidRDefault="001F1F85" w:rsidP="001F1F85">
                <w:pPr>
                  <w:pStyle w:val="Rodap"/>
                  <w:rPr>
                    <w:rStyle w:val="Forte"/>
                    <w:b w:val="0"/>
                    <w:color w:val="5B9BD5" w:themeColor="accent5"/>
                  </w:rPr>
                </w:pPr>
                <w:r>
                  <w:rPr>
                    <w:rStyle w:val="Forte"/>
                    <w:color w:val="5B9BD5" w:themeColor="accent5"/>
                  </w:rPr>
                  <w:t xml:space="preserve">End. </w:t>
                </w:r>
                <w:r w:rsidRPr="00873B2B">
                  <w:rPr>
                    <w:rStyle w:val="Forte"/>
                    <w:color w:val="5B9BD5" w:themeColor="accent5"/>
                  </w:rPr>
                  <w:t xml:space="preserve">Rua Professora Carolina </w:t>
                </w:r>
                <w:proofErr w:type="spellStart"/>
                <w:r w:rsidRPr="00873B2B">
                  <w:rPr>
                    <w:rStyle w:val="Forte"/>
                    <w:color w:val="5B9BD5" w:themeColor="accent5"/>
                  </w:rPr>
                  <w:t>Fróes</w:t>
                </w:r>
                <w:proofErr w:type="spellEnd"/>
                <w:r w:rsidRPr="00873B2B">
                  <w:rPr>
                    <w:rStyle w:val="Forte"/>
                    <w:color w:val="5B9BD5" w:themeColor="accent5"/>
                  </w:rPr>
                  <w:t xml:space="preserve"> Mendes, 321 – Centro</w:t>
                </w:r>
                <w:r>
                  <w:rPr>
                    <w:rStyle w:val="Forte"/>
                    <w:color w:val="5B9BD5" w:themeColor="accent5"/>
                  </w:rPr>
                  <w:t xml:space="preserve">   |   </w:t>
                </w:r>
                <w:r w:rsidRPr="00873B2B">
                  <w:rPr>
                    <w:rStyle w:val="Forte"/>
                    <w:color w:val="5B9BD5" w:themeColor="accent5"/>
                  </w:rPr>
                  <w:t>Tel.</w:t>
                </w:r>
                <w:r>
                  <w:rPr>
                    <w:rStyle w:val="Forte"/>
                    <w:color w:val="5B9BD5" w:themeColor="accent5"/>
                  </w:rPr>
                  <w:t xml:space="preserve"> (19) 3924-9355</w:t>
                </w:r>
              </w:p>
              <w:p w:rsidR="001F1F85" w:rsidRPr="00DC56E2" w:rsidRDefault="001F1F85" w:rsidP="001F1F85">
                <w:pPr>
                  <w:pStyle w:val="Rodap"/>
                  <w:rPr>
                    <w:rStyle w:val="Forte"/>
                    <w:b w:val="0"/>
                    <w:color w:val="5B9BD5" w:themeColor="accent5"/>
                  </w:rPr>
                </w:pPr>
                <w:r w:rsidRPr="00464839">
                  <w:rPr>
                    <w:rStyle w:val="Forte"/>
                    <w:color w:val="5B9BD5" w:themeColor="accent5"/>
                  </w:rPr>
                  <w:t xml:space="preserve">CNPJ: </w:t>
                </w:r>
                <w:r w:rsidRPr="00464839">
                  <w:rPr>
                    <w:bCs/>
                    <w:color w:val="5B9BD5" w:themeColor="accent5"/>
                  </w:rPr>
                  <w:t>46.439.683/0001-</w:t>
                </w:r>
                <w:proofErr w:type="gramStart"/>
                <w:r w:rsidRPr="00464839">
                  <w:rPr>
                    <w:bCs/>
                    <w:color w:val="5B9BD5" w:themeColor="accent5"/>
                  </w:rPr>
                  <w:t>89</w:t>
                </w:r>
                <w:r>
                  <w:rPr>
                    <w:bCs/>
                    <w:color w:val="5B9BD5" w:themeColor="accent5"/>
                  </w:rPr>
                  <w:t xml:space="preserve">  |</w:t>
                </w:r>
                <w:proofErr w:type="gramEnd"/>
                <w:r>
                  <w:rPr>
                    <w:bCs/>
                    <w:color w:val="5B9BD5" w:themeColor="accent5"/>
                  </w:rPr>
                  <w:t xml:space="preserve"> </w:t>
                </w:r>
                <w:r w:rsidRPr="00464839">
                  <w:rPr>
                    <w:rStyle w:val="Forte"/>
                    <w:color w:val="5B9BD5" w:themeColor="accent5"/>
                  </w:rPr>
                  <w:t>Inscrição Estadual:</w:t>
                </w:r>
                <w:r w:rsidRPr="00464839">
                  <w:rPr>
                    <w:color w:val="5B9BD5" w:themeColor="accent5"/>
                  </w:rPr>
                  <w:t xml:space="preserve"> Isenta</w:t>
                </w:r>
                <w:r>
                  <w:rPr>
                    <w:color w:val="5B9BD5" w:themeColor="accent5"/>
                  </w:rPr>
                  <w:t xml:space="preserve">  | </w:t>
                </w:r>
                <w:r>
                  <w:rPr>
                    <w:b/>
                    <w:color w:val="5B9BD5" w:themeColor="accent5"/>
                  </w:rPr>
                  <w:t>S</w:t>
                </w:r>
                <w:r w:rsidRPr="00873B2B">
                  <w:rPr>
                    <w:b/>
                    <w:color w:val="5B9BD5" w:themeColor="accent5"/>
                  </w:rPr>
                  <w:t>ite</w:t>
                </w:r>
                <w:r>
                  <w:rPr>
                    <w:color w:val="5B9BD5" w:themeColor="accent5"/>
                  </w:rPr>
                  <w:t xml:space="preserve">: </w:t>
                </w:r>
                <w:r w:rsidRPr="00464839">
                  <w:rPr>
                    <w:color w:val="5B9BD5" w:themeColor="accent5"/>
                  </w:rPr>
                  <w:t>aguasdelindoia.sp.gov.br</w:t>
                </w:r>
              </w:p>
            </w:tc>
          </w:tr>
        </w:tbl>
        <w:p w:rsidR="001F1F85" w:rsidRPr="0041605E" w:rsidRDefault="001F1F85" w:rsidP="001F1F85">
          <w:pPr>
            <w:pStyle w:val="Rodap"/>
          </w:pPr>
        </w:p>
      </w:tc>
      <w:tc>
        <w:tcPr>
          <w:tcW w:w="260" w:type="dxa"/>
        </w:tcPr>
        <w:p w:rsidR="001F1F85" w:rsidRPr="0041605E" w:rsidRDefault="001F1F85" w:rsidP="001F1F85">
          <w:pPr>
            <w:pStyle w:val="Rodap"/>
          </w:pPr>
        </w:p>
      </w:tc>
      <w:sdt>
        <w:sdtPr>
          <w:rPr>
            <w:b/>
            <w:bCs/>
          </w:rPr>
          <w:alias w:val="Clique no ícone à direita para substituir o logotipo"/>
          <w:tag w:val="Clique no ícone à direita para substituir o logotipo"/>
          <w:id w:val="-380170529"/>
          <w:picture/>
        </w:sdtPr>
        <w:sdtEndPr>
          <w:rPr>
            <w:b w:val="0"/>
            <w:bCs w:val="0"/>
          </w:rPr>
        </w:sdtEndPr>
        <w:sdtContent>
          <w:tc>
            <w:tcPr>
              <w:tcW w:w="1649" w:type="dxa"/>
              <w:vAlign w:val="bottom"/>
            </w:tcPr>
            <w:p w:rsidR="001F1F85" w:rsidRPr="0041605E" w:rsidRDefault="001F1F85" w:rsidP="001F1F85">
              <w:pPr>
                <w:pStyle w:val="Grfico"/>
              </w:pPr>
              <w:r w:rsidRPr="0041605E">
                <w:rPr>
                  <w:noProof/>
                  <w:lang w:val="sk-SK" w:eastAsia="sk-SK"/>
                </w:rPr>
                <w:drawing>
                  <wp:inline distT="0" distB="0" distL="0" distR="0" wp14:anchorId="2189560C" wp14:editId="2CB6C6AE">
                    <wp:extent cx="995680" cy="991727"/>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4746" cy="1010717"/>
                            </a:xfrm>
                            <a:prstGeom prst="rect">
                              <a:avLst/>
                            </a:prstGeom>
                            <a:noFill/>
                            <a:ln>
                              <a:noFill/>
                            </a:ln>
                          </pic:spPr>
                        </pic:pic>
                      </a:graphicData>
                    </a:graphic>
                  </wp:inline>
                </w:drawing>
              </w:r>
            </w:p>
          </w:tc>
        </w:sdtContent>
      </w:sdt>
    </w:tr>
  </w:tbl>
  <w:p w:rsidR="001F1F85" w:rsidRDefault="001F1F8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85"/>
    <w:rsid w:val="001F1F85"/>
    <w:rsid w:val="003054A5"/>
    <w:rsid w:val="0066621A"/>
    <w:rsid w:val="00F424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E94B"/>
  <w15:chartTrackingRefBased/>
  <w15:docId w15:val="{8093DE01-12C1-46DA-A7B1-8D91A17D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F85"/>
    <w:pPr>
      <w:spacing w:after="180" w:line="336" w:lineRule="auto"/>
    </w:pPr>
    <w:rPr>
      <w:color w:val="404040" w:themeColor="text1" w:themeTint="BF"/>
      <w:sz w:val="20"/>
      <w:szCs w:val="20"/>
      <w:lang w:eastAsia="ru-RU"/>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F1F85"/>
    <w:rPr>
      <w:color w:val="0563C1" w:themeColor="hyperlink"/>
      <w:u w:val="single"/>
    </w:rPr>
  </w:style>
  <w:style w:type="paragraph" w:styleId="Cabealho">
    <w:name w:val="header"/>
    <w:basedOn w:val="Normal"/>
    <w:link w:val="CabealhoChar"/>
    <w:uiPriority w:val="99"/>
    <w:unhideWhenUsed/>
    <w:rsid w:val="001F1F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F1F85"/>
    <w:rPr>
      <w:color w:val="404040" w:themeColor="text1" w:themeTint="BF"/>
      <w:sz w:val="20"/>
      <w:szCs w:val="20"/>
      <w:lang w:eastAsia="ru-RU"/>
    </w:rPr>
  </w:style>
  <w:style w:type="paragraph" w:styleId="Rodap">
    <w:name w:val="footer"/>
    <w:basedOn w:val="Normal"/>
    <w:link w:val="RodapChar"/>
    <w:uiPriority w:val="99"/>
    <w:unhideWhenUsed/>
    <w:qFormat/>
    <w:rsid w:val="001F1F85"/>
    <w:pPr>
      <w:tabs>
        <w:tab w:val="center" w:pos="4252"/>
        <w:tab w:val="right" w:pos="8504"/>
      </w:tabs>
      <w:spacing w:after="0" w:line="240" w:lineRule="auto"/>
    </w:pPr>
  </w:style>
  <w:style w:type="character" w:customStyle="1" w:styleId="RodapChar">
    <w:name w:val="Rodapé Char"/>
    <w:basedOn w:val="Fontepargpadro"/>
    <w:link w:val="Rodap"/>
    <w:uiPriority w:val="99"/>
    <w:rsid w:val="001F1F85"/>
    <w:rPr>
      <w:color w:val="404040" w:themeColor="text1" w:themeTint="BF"/>
      <w:sz w:val="20"/>
      <w:szCs w:val="20"/>
      <w:lang w:eastAsia="ru-RU"/>
    </w:rPr>
  </w:style>
  <w:style w:type="paragraph" w:customStyle="1" w:styleId="Grfico">
    <w:name w:val="Gráfico"/>
    <w:basedOn w:val="Normal"/>
    <w:uiPriority w:val="99"/>
    <w:rsid w:val="001F1F85"/>
    <w:pPr>
      <w:spacing w:after="80" w:line="240" w:lineRule="auto"/>
      <w:jc w:val="center"/>
    </w:pPr>
  </w:style>
  <w:style w:type="paragraph" w:customStyle="1" w:styleId="Organizao">
    <w:name w:val="Organização"/>
    <w:basedOn w:val="Normal"/>
    <w:uiPriority w:val="2"/>
    <w:qFormat/>
    <w:rsid w:val="001F1F85"/>
    <w:pPr>
      <w:spacing w:after="60" w:line="240" w:lineRule="auto"/>
      <w:ind w:left="29" w:right="29"/>
    </w:pPr>
    <w:rPr>
      <w:b/>
      <w:color w:val="4472C4" w:themeColor="accent1"/>
      <w:sz w:val="36"/>
    </w:rPr>
  </w:style>
  <w:style w:type="character" w:styleId="Forte">
    <w:name w:val="Strong"/>
    <w:basedOn w:val="Fontepargpadro"/>
    <w:uiPriority w:val="22"/>
    <w:qFormat/>
    <w:rsid w:val="001F1F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st.gov.b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812</Words>
  <Characters>4391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Compras</cp:lastModifiedBy>
  <cp:revision>2</cp:revision>
  <dcterms:created xsi:type="dcterms:W3CDTF">2023-11-13T15:12:00Z</dcterms:created>
  <dcterms:modified xsi:type="dcterms:W3CDTF">2023-11-13T15:24:00Z</dcterms:modified>
</cp:coreProperties>
</file>